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642C4" w14:textId="2281409F" w:rsidR="005A2243" w:rsidRPr="001C32BF" w:rsidRDefault="005A2243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>LESIONES EN DIANA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>;</w:t>
      </w:r>
      <w:r w:rsidR="007D17BA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UN RETO DIAGN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>Ó</w:t>
      </w:r>
      <w:r w:rsidR="007D17BA" w:rsidRPr="001C32BF">
        <w:rPr>
          <w:rFonts w:ascii="Times New Roman" w:eastAsia="Times New Roman" w:hAnsi="Times New Roman" w:cs="Times New Roman"/>
          <w:color w:val="222222"/>
          <w:lang w:eastAsia="es-ES_tradnl"/>
        </w:rPr>
        <w:t>STICO</w:t>
      </w:r>
    </w:p>
    <w:p w14:paraId="7745AE27" w14:textId="77777777" w:rsidR="00FC0E59" w:rsidRDefault="003E0168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Lucia </w:t>
      </w:r>
      <w:proofErr w:type="spellStart"/>
      <w:r>
        <w:rPr>
          <w:rFonts w:ascii="Times New Roman" w:eastAsia="Times New Roman" w:hAnsi="Times New Roman" w:cs="Times New Roman"/>
          <w:color w:val="222222"/>
          <w:lang w:eastAsia="es-ES_tradnl"/>
        </w:rPr>
        <w:t>Samperiz</w:t>
      </w:r>
      <w:proofErr w:type="spellEnd"/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lang w:eastAsia="es-ES_tradnl"/>
        </w:rPr>
        <w:t>Sinovas</w:t>
      </w:r>
      <w:proofErr w:type="spellEnd"/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, David </w:t>
      </w:r>
      <w:proofErr w:type="spellStart"/>
      <w:r>
        <w:rPr>
          <w:rFonts w:ascii="Times New Roman" w:eastAsia="Times New Roman" w:hAnsi="Times New Roman" w:cs="Times New Roman"/>
          <w:color w:val="222222"/>
          <w:lang w:eastAsia="es-ES_tradnl"/>
        </w:rPr>
        <w:t>Samperiz</w:t>
      </w:r>
      <w:proofErr w:type="spellEnd"/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lang w:eastAsia="es-ES_tradnl"/>
        </w:rPr>
        <w:t>Sinovas</w:t>
      </w:r>
      <w:proofErr w:type="spellEnd"/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, </w:t>
      </w:r>
      <w:r w:rsidR="00FC0E59">
        <w:rPr>
          <w:rFonts w:ascii="Times New Roman" w:eastAsia="Times New Roman" w:hAnsi="Times New Roman" w:cs="Times New Roman"/>
          <w:color w:val="222222"/>
          <w:lang w:eastAsia="es-ES_tradnl"/>
        </w:rPr>
        <w:t xml:space="preserve"> María</w:t>
      </w:r>
      <w:proofErr w:type="gramEnd"/>
      <w:r w:rsidR="00FC0E59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Inmaculada </w:t>
      </w:r>
      <w:proofErr w:type="spellStart"/>
      <w:r>
        <w:rPr>
          <w:rFonts w:ascii="Times New Roman" w:eastAsia="Times New Roman" w:hAnsi="Times New Roman" w:cs="Times New Roman"/>
          <w:color w:val="222222"/>
          <w:lang w:eastAsia="es-ES_tradnl"/>
        </w:rPr>
        <w:t>Sinovas</w:t>
      </w:r>
      <w:proofErr w:type="spellEnd"/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="00FC0E59">
        <w:rPr>
          <w:rFonts w:ascii="Times New Roman" w:eastAsia="Times New Roman" w:hAnsi="Times New Roman" w:cs="Times New Roman"/>
          <w:color w:val="222222"/>
          <w:lang w:eastAsia="es-ES_tradnl"/>
        </w:rPr>
        <w:t>González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,</w:t>
      </w:r>
    </w:p>
    <w:p w14:paraId="1088126E" w14:textId="6CD565D9" w:rsidR="007D17BA" w:rsidRDefault="003E0168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="00675947">
        <w:rPr>
          <w:rFonts w:ascii="Times New Roman" w:eastAsia="Times New Roman" w:hAnsi="Times New Roman" w:cs="Times New Roman"/>
          <w:color w:val="222222"/>
          <w:lang w:eastAsia="es-ES_tradnl"/>
        </w:rPr>
        <w:t>Francisco Rodríguez Fuentes.</w:t>
      </w:r>
    </w:p>
    <w:p w14:paraId="02A7EAB1" w14:textId="77777777" w:rsidR="00675947" w:rsidRPr="001C32BF" w:rsidRDefault="00675947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</w:p>
    <w:p w14:paraId="2B61065D" w14:textId="0D6E9B15" w:rsidR="007D17BA" w:rsidRPr="001C32BF" w:rsidRDefault="007D17BA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1C32BF">
        <w:rPr>
          <w:rFonts w:ascii="Times New Roman" w:eastAsia="Times New Roman" w:hAnsi="Times New Roman" w:cs="Times New Roman"/>
          <w:i/>
          <w:iCs/>
          <w:color w:val="222222"/>
          <w:lang w:eastAsia="es-ES_tradnl"/>
        </w:rPr>
        <w:t>Introducción</w:t>
      </w:r>
    </w:p>
    <w:p w14:paraId="6A57590F" w14:textId="4B8931A1" w:rsidR="005A2243" w:rsidRPr="005A2243" w:rsidRDefault="005A2243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La urticaria multiforme es una entidad benigna y autolimitada propia de lactantes y </w:t>
      </w:r>
      <w:r w:rsidR="00D42C4F" w:rsidRPr="005A2243">
        <w:rPr>
          <w:rFonts w:ascii="Times New Roman" w:eastAsia="Times New Roman" w:hAnsi="Times New Roman" w:cs="Times New Roman"/>
          <w:color w:val="222222"/>
          <w:lang w:eastAsia="es-ES_tradnl"/>
        </w:rPr>
        <w:t>niños entre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 los cuatro meses y los cuatro año</w:t>
      </w: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>s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,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ocasionada por una reacción de 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h</w:t>
      </w:r>
      <w:r w:rsidR="00D95AE6" w:rsidRPr="001C32BF">
        <w:rPr>
          <w:rFonts w:ascii="Times New Roman" w:eastAsia="Times New Roman" w:hAnsi="Times New Roman" w:cs="Times New Roman"/>
          <w:color w:val="222222"/>
          <w:lang w:eastAsia="es-ES_tradnl"/>
        </w:rPr>
        <w:t>ipersensibilidad tipo</w:t>
      </w: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I.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 Su nombre se debe a su similitud morfológica con el eritema multiforme. Se caracteriza por habones anulares y policíclicos, de centro violáceo y carácter evanescente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 xml:space="preserve">, prurito y 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asocia con frecuencia</w:t>
      </w:r>
      <w:r w:rsidR="00CD6700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="00CD6700" w:rsidRPr="005A2243">
        <w:rPr>
          <w:rFonts w:ascii="Times New Roman" w:eastAsia="Times New Roman" w:hAnsi="Times New Roman" w:cs="Times New Roman"/>
          <w:color w:val="222222"/>
          <w:lang w:eastAsia="es-ES_tradnl"/>
        </w:rPr>
        <w:t>dermografismo</w:t>
      </w:r>
      <w:r w:rsidR="00CD6700">
        <w:rPr>
          <w:rFonts w:ascii="Times New Roman" w:eastAsia="Times New Roman" w:hAnsi="Times New Roman" w:cs="Times New Roman"/>
          <w:color w:val="222222"/>
          <w:lang w:eastAsia="es-ES_tradnl"/>
        </w:rPr>
        <w:t xml:space="preserve"> y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 edema acral sin afectación laríngea. El estado general está conservado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 xml:space="preserve">. 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Puede asocia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>rse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 a un proceso febril o tras este, así como asociar síntomas del proceso concomitante.</w:t>
      </w:r>
    </w:p>
    <w:p w14:paraId="34009028" w14:textId="1DA65A25" w:rsidR="005A2243" w:rsidRPr="005A2243" w:rsidRDefault="005A2243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Su etiología es desconocida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>, s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e ha propuesto su asociación a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medicamentos </w:t>
      </w:r>
      <w:r w:rsidR="00D95AE6" w:rsidRPr="005A2243">
        <w:rPr>
          <w:rFonts w:ascii="Times New Roman" w:eastAsia="Times New Roman" w:hAnsi="Times New Roman" w:cs="Times New Roman"/>
          <w:color w:val="222222"/>
          <w:lang w:eastAsia="es-ES_tradnl"/>
        </w:rPr>
        <w:t>y antecedente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>vacunal.</w:t>
      </w:r>
      <w:r w:rsidR="00D95AE6">
        <w:rPr>
          <w:rFonts w:ascii="Times New Roman" w:eastAsia="Times New Roman" w:hAnsi="Times New Roman" w:cs="Times New Roman"/>
          <w:color w:val="222222"/>
          <w:vertAlign w:val="superscript"/>
          <w:lang w:eastAsia="es-ES_tradnl"/>
        </w:rPr>
        <w:t xml:space="preserve"> 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El virus del herpes simple no se ha relacionado con la urticaria multiforme, siendo, sin embargo, el virus más frecuentemente asociado al eritema multiforme.  </w:t>
      </w:r>
    </w:p>
    <w:p w14:paraId="6B20BD8E" w14:textId="01C0117C" w:rsidR="005A2243" w:rsidRPr="005A2243" w:rsidRDefault="005A2243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El tratamiento es sintomático con antihistamínicos, siendo dudoso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el papel de la corticoterapia oral en los casos graves.</w:t>
      </w:r>
    </w:p>
    <w:p w14:paraId="6214CEB2" w14:textId="69061F68" w:rsidR="005A2243" w:rsidRPr="001C32BF" w:rsidRDefault="005A2243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Su evolución natural es la resolución en 2-12 días, sin hiperpigmentación residual</w:t>
      </w: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>.</w:t>
      </w:r>
    </w:p>
    <w:p w14:paraId="2AEFD9E2" w14:textId="38DA4388" w:rsidR="007D17BA" w:rsidRPr="001C32BF" w:rsidRDefault="007D17BA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</w:p>
    <w:p w14:paraId="285D8E6D" w14:textId="306B9C7F" w:rsidR="007D17BA" w:rsidRPr="001C32BF" w:rsidRDefault="007D17BA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1C32BF">
        <w:rPr>
          <w:rFonts w:ascii="Times New Roman" w:eastAsia="Times New Roman" w:hAnsi="Times New Roman" w:cs="Times New Roman"/>
          <w:i/>
          <w:iCs/>
          <w:color w:val="222222"/>
          <w:lang w:eastAsia="es-ES_tradnl"/>
        </w:rPr>
        <w:t xml:space="preserve">Caso </w:t>
      </w:r>
      <w:r w:rsidR="00D42C4F" w:rsidRPr="001C32BF">
        <w:rPr>
          <w:rFonts w:ascii="Times New Roman" w:eastAsia="Times New Roman" w:hAnsi="Times New Roman" w:cs="Times New Roman"/>
          <w:i/>
          <w:iCs/>
          <w:color w:val="222222"/>
          <w:lang w:eastAsia="es-ES_tradnl"/>
        </w:rPr>
        <w:t>clínico</w:t>
      </w:r>
      <w:r w:rsidR="00D95AE6">
        <w:rPr>
          <w:rFonts w:ascii="Times New Roman" w:eastAsia="Times New Roman" w:hAnsi="Times New Roman" w:cs="Times New Roman"/>
          <w:i/>
          <w:iCs/>
          <w:color w:val="222222"/>
          <w:lang w:eastAsia="es-ES_tradnl"/>
        </w:rPr>
        <w:t>:</w:t>
      </w:r>
    </w:p>
    <w:p w14:paraId="1B065517" w14:textId="77777777" w:rsidR="00D95AE6" w:rsidRDefault="00D95AE6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>
        <w:rPr>
          <w:rFonts w:ascii="Times New Roman" w:eastAsia="Times New Roman" w:hAnsi="Times New Roman" w:cs="Times New Roman"/>
          <w:color w:val="222222"/>
          <w:lang w:eastAsia="es-ES_tradnl"/>
        </w:rPr>
        <w:t>Presentamos</w:t>
      </w:r>
      <w:r w:rsidR="007D17BA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2 casos similares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. </w:t>
      </w:r>
    </w:p>
    <w:p w14:paraId="576119B2" w14:textId="60CD6ED0" w:rsidR="004A43D4" w:rsidRPr="001C32BF" w:rsidRDefault="00D42C4F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>
        <w:rPr>
          <w:rFonts w:ascii="Times New Roman" w:eastAsia="Times New Roman" w:hAnsi="Times New Roman" w:cs="Times New Roman"/>
          <w:color w:val="222222"/>
          <w:lang w:eastAsia="es-ES_tradnl"/>
        </w:rPr>
        <w:t>En primer lugar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,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 l</w:t>
      </w:r>
      <w:r w:rsidR="00B13103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actante de 17 meses sin antecedentes de interés que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acude</w:t>
      </w:r>
      <w:r w:rsidR="00B13103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a consulta por aparición de múltiples lesiones eritematosas generalizadas</w:t>
      </w:r>
      <w:r w:rsidR="007D17BA" w:rsidRPr="001C32BF">
        <w:rPr>
          <w:rFonts w:ascii="Times New Roman" w:eastAsia="Times New Roman" w:hAnsi="Times New Roman" w:cs="Times New Roman"/>
          <w:color w:val="222222"/>
          <w:lang w:eastAsia="es-ES_tradnl"/>
        </w:rPr>
        <w:t>, pruriginosas</w:t>
      </w:r>
      <w:r w:rsidR="00B13103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. Se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encuentra</w:t>
      </w:r>
      <w:r w:rsidR="00B13103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afebril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, con</w:t>
      </w:r>
      <w:r w:rsidR="00B13103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>sibilantes espiratorios a la auscultación</w:t>
      </w:r>
      <w:r w:rsidR="00B13103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. Acababa de terminar ciclo </w:t>
      </w:r>
      <w:r w:rsidR="005A2243" w:rsidRPr="001C32BF">
        <w:rPr>
          <w:rFonts w:ascii="Times New Roman" w:eastAsia="Times New Roman" w:hAnsi="Times New Roman" w:cs="Times New Roman"/>
          <w:color w:val="222222"/>
          <w:lang w:eastAsia="es-ES_tradnl"/>
        </w:rPr>
        <w:t>antibiótico</w:t>
      </w:r>
      <w:r w:rsidR="00B13103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con amoxicilina por una otitis media. A la exploración presenta un TEP estable, con lesiones redondas con centro claro generalizadas, algunas de componente purpúrico. </w:t>
      </w:r>
    </w:p>
    <w:p w14:paraId="2566756A" w14:textId="48FAE5FD" w:rsidR="007D17BA" w:rsidRPr="001C32BF" w:rsidRDefault="007D17BA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En segundo </w:t>
      </w:r>
      <w:r w:rsidR="00D42C4F" w:rsidRPr="001C32BF">
        <w:rPr>
          <w:rFonts w:ascii="Times New Roman" w:eastAsia="Times New Roman" w:hAnsi="Times New Roman" w:cs="Times New Roman"/>
          <w:color w:val="222222"/>
          <w:lang w:eastAsia="es-ES_tradnl"/>
        </w:rPr>
        <w:t>lugar,</w:t>
      </w: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nos encontramos con una paciente de 2 años que hace 10 </w:t>
      </w:r>
      <w:r w:rsidR="00D42C4F" w:rsidRPr="001C32BF">
        <w:rPr>
          <w:rFonts w:ascii="Times New Roman" w:eastAsia="Times New Roman" w:hAnsi="Times New Roman" w:cs="Times New Roman"/>
          <w:color w:val="222222"/>
          <w:lang w:eastAsia="es-ES_tradnl"/>
        </w:rPr>
        <w:t>días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comenz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ó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un cuadro febril 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 xml:space="preserve">siendo 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diagnosticada de faringoamigdalitis 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 xml:space="preserve">que se 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>trat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>ó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con amoxicilina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.</w:t>
      </w:r>
      <w:r w:rsidR="00D42C4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E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l ultimo </w:t>
      </w:r>
      <w:r w:rsidR="00D42C4F" w:rsidRPr="001C32BF">
        <w:rPr>
          <w:rFonts w:ascii="Times New Roman" w:eastAsia="Times New Roman" w:hAnsi="Times New Roman" w:cs="Times New Roman"/>
          <w:color w:val="222222"/>
          <w:lang w:eastAsia="es-ES_tradnl"/>
        </w:rPr>
        <w:t>día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de toma de </w:t>
      </w:r>
      <w:r w:rsidR="00D42C4F" w:rsidRPr="001C32BF">
        <w:rPr>
          <w:rFonts w:ascii="Times New Roman" w:eastAsia="Times New Roman" w:hAnsi="Times New Roman" w:cs="Times New Roman"/>
          <w:color w:val="222222"/>
          <w:lang w:eastAsia="es-ES_tradnl"/>
        </w:rPr>
        <w:t>antibiótico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presentó un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brote de exantema </w:t>
      </w:r>
      <w:proofErr w:type="spellStart"/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>urticar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>iforme</w:t>
      </w:r>
      <w:proofErr w:type="spellEnd"/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>.  A las pocas horas comienza con fiebre y las lesiones maculo-</w:t>
      </w:r>
      <w:proofErr w:type="spellStart"/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>papulares</w:t>
      </w:r>
      <w:proofErr w:type="spellEnd"/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 xml:space="preserve">, 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>algunas en diana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 xml:space="preserve"> y otras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 violáceas purpúricas que no blanquean, edema palpebral bilateral y </w:t>
      </w:r>
      <w:r w:rsidR="00D95AE6">
        <w:rPr>
          <w:rFonts w:ascii="Times New Roman" w:eastAsia="Times New Roman" w:hAnsi="Times New Roman" w:cs="Times New Roman"/>
          <w:color w:val="222222"/>
          <w:lang w:eastAsia="es-ES_tradnl"/>
        </w:rPr>
        <w:t xml:space="preserve">en </w:t>
      </w:r>
      <w:r w:rsidR="005D0B1C" w:rsidRPr="001C32BF">
        <w:rPr>
          <w:rFonts w:ascii="Times New Roman" w:eastAsia="Times New Roman" w:hAnsi="Times New Roman" w:cs="Times New Roman"/>
          <w:color w:val="222222"/>
          <w:lang w:eastAsia="es-ES_tradnl"/>
        </w:rPr>
        <w:t xml:space="preserve">manos y pies. Con excelente estado general. </w:t>
      </w:r>
    </w:p>
    <w:p w14:paraId="39BAF9A3" w14:textId="5507C006" w:rsidR="005D0B1C" w:rsidRPr="001C32BF" w:rsidRDefault="005D0B1C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</w:p>
    <w:p w14:paraId="255E8FE8" w14:textId="3A53803E" w:rsidR="005D0B1C" w:rsidRPr="001C32BF" w:rsidRDefault="005D0B1C" w:rsidP="001C32BF">
      <w:pPr>
        <w:jc w:val="both"/>
        <w:rPr>
          <w:rFonts w:ascii="Times New Roman" w:eastAsia="Times New Roman" w:hAnsi="Times New Roman" w:cs="Times New Roman"/>
          <w:i/>
          <w:iCs/>
          <w:color w:val="222222"/>
          <w:lang w:eastAsia="es-ES_tradnl"/>
        </w:rPr>
      </w:pPr>
      <w:r w:rsidRPr="001C32BF">
        <w:rPr>
          <w:rFonts w:ascii="Times New Roman" w:eastAsia="Times New Roman" w:hAnsi="Times New Roman" w:cs="Times New Roman"/>
          <w:i/>
          <w:iCs/>
          <w:color w:val="222222"/>
          <w:lang w:eastAsia="es-ES_tradnl"/>
        </w:rPr>
        <w:t>Conclusión</w:t>
      </w:r>
      <w:r w:rsidR="00D95AE6">
        <w:rPr>
          <w:rFonts w:ascii="Times New Roman" w:eastAsia="Times New Roman" w:hAnsi="Times New Roman" w:cs="Times New Roman"/>
          <w:i/>
          <w:iCs/>
          <w:color w:val="222222"/>
          <w:lang w:eastAsia="es-ES_tradnl"/>
        </w:rPr>
        <w:t>:</w:t>
      </w:r>
    </w:p>
    <w:p w14:paraId="12172C55" w14:textId="58C1494F" w:rsidR="00D95AE6" w:rsidRDefault="001C32BF" w:rsidP="001C32BF">
      <w:pPr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D42C4F">
        <w:rPr>
          <w:rFonts w:ascii="Times New Roman" w:hAnsi="Times New Roman" w:cs="Times New Roman"/>
          <w:color w:val="333333"/>
          <w:shd w:val="clear" w:color="auto" w:fill="FFFFFF"/>
        </w:rPr>
        <w:t xml:space="preserve">La urticaria multiforme es un subtipo morfológico de la urticaria aguda que se observa frecuentemente en los primeros años de vida. </w:t>
      </w:r>
    </w:p>
    <w:p w14:paraId="6D9301B3" w14:textId="03B983D8" w:rsidR="005D0B1C" w:rsidRPr="00D95AE6" w:rsidRDefault="00D95AE6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El diagnóstico diferencial incluye: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U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rticaria aguda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 xml:space="preserve">, 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que carece de pigmentación violácea central;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E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ritema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M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ultiforme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,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 con afectación del estado general, lesiones fijas sin dermografismo, necrosis cutánea con formación de ampollas y afectación de mucosas; y el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E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dema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A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 xml:space="preserve">gudo 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H</w:t>
      </w:r>
      <w:r w:rsidRPr="005A2243">
        <w:rPr>
          <w:rFonts w:ascii="Times New Roman" w:eastAsia="Times New Roman" w:hAnsi="Times New Roman" w:cs="Times New Roman"/>
          <w:color w:val="222222"/>
          <w:lang w:eastAsia="es-ES_tradnl"/>
        </w:rPr>
        <w:t>emorrágico del lactante</w:t>
      </w:r>
      <w:r w:rsidRPr="001C32BF">
        <w:rPr>
          <w:rFonts w:ascii="Times New Roman" w:eastAsia="Times New Roman" w:hAnsi="Times New Roman" w:cs="Times New Roman"/>
          <w:color w:val="222222"/>
          <w:lang w:eastAsia="es-ES_tradnl"/>
        </w:rPr>
        <w:t>, donde encontraríamos característicamente afectación de pabellones auriculares y parte distal de extremidades</w:t>
      </w:r>
      <w:r>
        <w:rPr>
          <w:rFonts w:ascii="Times New Roman" w:eastAsia="Times New Roman" w:hAnsi="Times New Roman" w:cs="Times New Roman"/>
          <w:color w:val="222222"/>
          <w:lang w:eastAsia="es-ES_tradnl"/>
        </w:rPr>
        <w:t>. Por todo ello,</w:t>
      </w:r>
      <w:r w:rsidR="001C32BF" w:rsidRPr="00D42C4F">
        <w:rPr>
          <w:rFonts w:ascii="Times New Roman" w:hAnsi="Times New Roman" w:cs="Times New Roman"/>
          <w:color w:val="333333"/>
          <w:shd w:val="clear" w:color="auto" w:fill="FFFFFF"/>
        </w:rPr>
        <w:t xml:space="preserve"> es necesario conocer sus diferencias para poder distinguirlas y tratarlas adecuadamente.</w:t>
      </w:r>
    </w:p>
    <w:p w14:paraId="031B123C" w14:textId="3BB51E8C" w:rsidR="005D0B1C" w:rsidRPr="001C32BF" w:rsidRDefault="005D0B1C" w:rsidP="001C32BF">
      <w:pPr>
        <w:jc w:val="both"/>
        <w:rPr>
          <w:rFonts w:ascii="Times New Roman" w:eastAsia="Times New Roman" w:hAnsi="Times New Roman" w:cs="Times New Roman"/>
          <w:color w:val="222222"/>
          <w:lang w:eastAsia="es-ES_tradnl"/>
        </w:rPr>
      </w:pPr>
    </w:p>
    <w:sectPr w:rsidR="005D0B1C" w:rsidRPr="001C32BF" w:rsidSect="0048794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03"/>
    <w:rsid w:val="001C32BF"/>
    <w:rsid w:val="0024337A"/>
    <w:rsid w:val="003E0168"/>
    <w:rsid w:val="0048794C"/>
    <w:rsid w:val="004A43D4"/>
    <w:rsid w:val="005A2243"/>
    <w:rsid w:val="005D0B1C"/>
    <w:rsid w:val="00675947"/>
    <w:rsid w:val="006D2A7A"/>
    <w:rsid w:val="007D17BA"/>
    <w:rsid w:val="00B13103"/>
    <w:rsid w:val="00CD6700"/>
    <w:rsid w:val="00D42C4F"/>
    <w:rsid w:val="00D95AE6"/>
    <w:rsid w:val="00FC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A96B00"/>
  <w15:chartTrackingRefBased/>
  <w15:docId w15:val="{37E632A8-F2BC-A140-86C4-38CEBB77A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B13103"/>
  </w:style>
  <w:style w:type="character" w:customStyle="1" w:styleId="il">
    <w:name w:val="il"/>
    <w:basedOn w:val="Fuentedeprrafopredeter"/>
    <w:rsid w:val="00B13103"/>
  </w:style>
  <w:style w:type="character" w:styleId="nfasis">
    <w:name w:val="Emphasis"/>
    <w:basedOn w:val="Fuentedeprrafopredeter"/>
    <w:uiPriority w:val="20"/>
    <w:qFormat/>
    <w:rsid w:val="001C32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5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82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1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1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SAMPERIZ SINOVAS</dc:creator>
  <cp:keywords/>
  <dc:description/>
  <cp:lastModifiedBy>LUCIA SAMPERIZ SINOVAS</cp:lastModifiedBy>
  <cp:revision>4</cp:revision>
  <dcterms:created xsi:type="dcterms:W3CDTF">2023-11-07T17:20:00Z</dcterms:created>
  <dcterms:modified xsi:type="dcterms:W3CDTF">2023-11-07T20:32:00Z</dcterms:modified>
</cp:coreProperties>
</file>